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o(s) seguinte(s)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MTD161L0013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MTD081F0013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D1D_UI1A_210712_138_46350.fls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1.3.8.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